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EAEC5" w14:textId="25ACFFE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EF6FC0">
        <w:rPr>
          <w:bCs/>
          <w:noProof w:val="0"/>
          <w:sz w:val="24"/>
          <w:szCs w:val="24"/>
        </w:rPr>
        <w:t>02693</w:t>
      </w:r>
    </w:p>
    <w:p w14:paraId="7493A80F"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5FA34840" w14:textId="77777777" w:rsidR="00CD4C7B" w:rsidRPr="00B266B0" w:rsidRDefault="00CD4C7B" w:rsidP="00CD4C7B">
      <w:pPr>
        <w:pStyle w:val="Header"/>
        <w:rPr>
          <w:bCs/>
          <w:noProof w:val="0"/>
          <w:sz w:val="24"/>
        </w:rPr>
      </w:pPr>
    </w:p>
    <w:p w14:paraId="1617A262" w14:textId="77777777" w:rsidR="00CD4C7B" w:rsidRPr="00B266B0" w:rsidRDefault="00CD4C7B" w:rsidP="00CD4C7B">
      <w:pPr>
        <w:pStyle w:val="Header"/>
        <w:rPr>
          <w:bCs/>
          <w:noProof w:val="0"/>
          <w:sz w:val="24"/>
        </w:rPr>
      </w:pPr>
    </w:p>
    <w:p w14:paraId="23BD48FE"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A1B73">
        <w:rPr>
          <w:rFonts w:cs="Arial"/>
          <w:b/>
          <w:bCs/>
          <w:sz w:val="24"/>
        </w:rPr>
        <w:t>10.2.2.2</w:t>
      </w:r>
    </w:p>
    <w:p w14:paraId="2FA6056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0F290A32"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44714">
        <w:rPr>
          <w:rFonts w:ascii="Arial" w:hAnsi="Arial" w:cs="Arial"/>
          <w:b/>
          <w:bCs/>
          <w:sz w:val="24"/>
        </w:rPr>
        <w:t xml:space="preserve">Measurement </w:t>
      </w:r>
      <w:r w:rsidR="00AD7FE1">
        <w:rPr>
          <w:rFonts w:ascii="Arial" w:hAnsi="Arial" w:cs="Arial"/>
          <w:b/>
          <w:bCs/>
          <w:sz w:val="24"/>
        </w:rPr>
        <w:t xml:space="preserve">coordination </w:t>
      </w:r>
      <w:r w:rsidR="00D44714">
        <w:rPr>
          <w:rFonts w:ascii="Arial" w:hAnsi="Arial" w:cs="Arial"/>
          <w:b/>
          <w:bCs/>
          <w:sz w:val="24"/>
        </w:rPr>
        <w:t>for LTE-NR tight interworking</w:t>
      </w:r>
    </w:p>
    <w:p w14:paraId="3478DD3B" w14:textId="78DD9C0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D7B74">
        <w:rPr>
          <w:rFonts w:ascii="Arial" w:hAnsi="Arial" w:cs="Arial"/>
          <w:b/>
          <w:bCs/>
          <w:sz w:val="24"/>
        </w:rPr>
        <w:t>NR</w:t>
      </w:r>
      <w:r w:rsidR="00BA1B73">
        <w:rPr>
          <w:rFonts w:ascii="Arial" w:hAnsi="Arial" w:cs="Arial"/>
          <w:b/>
          <w:bCs/>
          <w:sz w:val="24"/>
        </w:rPr>
        <w:t>_NewRa</w:t>
      </w:r>
      <w:r w:rsidR="00AD7B74">
        <w:rPr>
          <w:rFonts w:ascii="Arial" w:hAnsi="Arial" w:cs="Arial"/>
          <w:b/>
          <w:bCs/>
          <w:sz w:val="24"/>
        </w:rPr>
        <w:t>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BA1B73">
        <w:rPr>
          <w:rFonts w:ascii="Arial" w:hAnsi="Arial" w:cs="Arial"/>
          <w:b/>
          <w:bCs/>
          <w:sz w:val="24"/>
        </w:rPr>
        <w:t>15</w:t>
      </w:r>
    </w:p>
    <w:p w14:paraId="1BCBFBB3"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B83BEA4" w14:textId="77777777" w:rsidR="00CD4C7B" w:rsidRPr="006E13D1" w:rsidRDefault="00CD4C7B" w:rsidP="00CD4C7B">
      <w:pPr>
        <w:pStyle w:val="Heading1"/>
      </w:pPr>
      <w:r w:rsidRPr="006E13D1">
        <w:t>1</w:t>
      </w:r>
      <w:r w:rsidRPr="006E13D1">
        <w:tab/>
      </w:r>
      <w:r w:rsidR="0056573F">
        <w:t>Introduction</w:t>
      </w:r>
    </w:p>
    <w:p w14:paraId="083597C3" w14:textId="77777777" w:rsidR="00CD4C7B" w:rsidRDefault="00D44714" w:rsidP="00CD4C7B">
      <w:r>
        <w:t>LTE-NR tight interworking (also called E-UTRAN-NR Dual Connectivity or EN-DC for short) requires coordination between the LTE MeNB and NR SgNB in many aspects. So far RAN2 has agreed on the following</w:t>
      </w:r>
      <w:r w:rsidR="00C94598">
        <w:t xml:space="preserve"> concerning the measurements of LTE-NR tight interworking</w:t>
      </w:r>
      <w:r>
        <w:t>:</w:t>
      </w:r>
    </w:p>
    <w:p w14:paraId="0B0BC2D3" w14:textId="77777777" w:rsidR="00AD7FE1" w:rsidRDefault="00AD7FE1" w:rsidP="00AD7FE1">
      <w:pPr>
        <w:pStyle w:val="Doc-text2"/>
        <w:pBdr>
          <w:top w:val="single" w:sz="4" w:space="1" w:color="auto"/>
          <w:left w:val="single" w:sz="4" w:space="4" w:color="auto"/>
          <w:bottom w:val="single" w:sz="4" w:space="1" w:color="auto"/>
          <w:right w:val="single" w:sz="4" w:space="4" w:color="auto"/>
        </w:pBdr>
      </w:pPr>
      <w:r>
        <w:t>Agreements</w:t>
      </w:r>
    </w:p>
    <w:p w14:paraId="5D3DC7DB" w14:textId="77777777" w:rsidR="00AD7FE1" w:rsidRDefault="00AD7FE1" w:rsidP="00AD7FE1">
      <w:pPr>
        <w:pStyle w:val="Doc-text2"/>
        <w:pBdr>
          <w:top w:val="single" w:sz="4" w:space="1" w:color="auto"/>
          <w:left w:val="single" w:sz="4" w:space="4" w:color="auto"/>
          <w:bottom w:val="single" w:sz="4" w:space="1" w:color="auto"/>
          <w:right w:val="single" w:sz="4" w:space="4" w:color="auto"/>
        </w:pBdr>
      </w:pPr>
      <w:r>
        <w:t>3</w:t>
      </w:r>
      <w:r>
        <w:tab/>
        <w:t>The RRM measurement configuration for secondary node change is maintained by secondary node and also processes measurement reports.</w:t>
      </w:r>
    </w:p>
    <w:p w14:paraId="26290709" w14:textId="77777777" w:rsidR="00AD7FE1" w:rsidRDefault="00AD7FE1" w:rsidP="00CD4C7B"/>
    <w:p w14:paraId="0EFF9C05" w14:textId="77777777" w:rsidR="00AD7FE1" w:rsidRDefault="00AD7FE1" w:rsidP="00AD7FE1">
      <w:pPr>
        <w:pStyle w:val="Doc-text2"/>
        <w:pBdr>
          <w:top w:val="single" w:sz="4" w:space="1" w:color="auto"/>
          <w:left w:val="single" w:sz="4" w:space="4" w:color="auto"/>
          <w:bottom w:val="single" w:sz="4" w:space="1" w:color="auto"/>
          <w:right w:val="single" w:sz="4" w:space="4" w:color="auto"/>
        </w:pBdr>
      </w:pPr>
      <w:r>
        <w:t>Agreements</w:t>
      </w:r>
    </w:p>
    <w:p w14:paraId="7F1124AF" w14:textId="77777777" w:rsidR="00AD7FE1" w:rsidRDefault="00AD7FE1" w:rsidP="00AD7FE1">
      <w:pPr>
        <w:pStyle w:val="Doc-text2"/>
        <w:pBdr>
          <w:top w:val="single" w:sz="4" w:space="1" w:color="auto"/>
          <w:left w:val="single" w:sz="4" w:space="4" w:color="auto"/>
          <w:bottom w:val="single" w:sz="4" w:space="1" w:color="auto"/>
          <w:right w:val="single" w:sz="4" w:space="4" w:color="auto"/>
        </w:pBdr>
      </w:pPr>
    </w:p>
    <w:p w14:paraId="4FB9489B" w14:textId="77777777" w:rsidR="00AD7FE1" w:rsidRDefault="00AD7FE1" w:rsidP="00AD7FE1">
      <w:pPr>
        <w:pStyle w:val="Doc-text2"/>
        <w:pBdr>
          <w:top w:val="single" w:sz="4" w:space="1" w:color="auto"/>
          <w:left w:val="single" w:sz="4" w:space="4" w:color="auto"/>
          <w:bottom w:val="single" w:sz="4" w:space="1" w:color="auto"/>
          <w:right w:val="single" w:sz="4" w:space="4" w:color="auto"/>
        </w:pBdr>
      </w:pPr>
      <w:r>
        <w:t>4</w:t>
      </w:r>
      <w:r>
        <w:tab/>
        <w:t xml:space="preserve">Measurement reporting for mobility within the SN can be transported in SN RRC messages </w:t>
      </w:r>
      <w:r w:rsidRPr="009715B0">
        <w:t xml:space="preserve">directly </w:t>
      </w:r>
      <w:r>
        <w:t>from UE to SN, if SCG SRB is configured. Detail rules for UE to select transmission path for UL message to be defined in WI.</w:t>
      </w:r>
    </w:p>
    <w:p w14:paraId="1223460B" w14:textId="77777777" w:rsidR="00AD7FE1" w:rsidRDefault="00AD7FE1" w:rsidP="00CD4C7B"/>
    <w:p w14:paraId="6E42BE67" w14:textId="77777777" w:rsidR="00D44714" w:rsidRPr="006E13D1" w:rsidRDefault="00D44714" w:rsidP="00CD4C7B">
      <w:r>
        <w:t xml:space="preserve">In this contribution, we discuss the topic </w:t>
      </w:r>
      <w:r w:rsidR="00AD7FE1">
        <w:t>of measurement coordination for LTE-NR tight interworking.</w:t>
      </w:r>
    </w:p>
    <w:p w14:paraId="118F6E48" w14:textId="77777777" w:rsidR="00CD4C7B" w:rsidRPr="006E13D1" w:rsidRDefault="00CD4C7B" w:rsidP="00CD4C7B">
      <w:pPr>
        <w:pStyle w:val="Heading1"/>
      </w:pPr>
      <w:r w:rsidRPr="006E13D1">
        <w:t>2</w:t>
      </w:r>
      <w:r w:rsidRPr="006E13D1">
        <w:tab/>
      </w:r>
      <w:r w:rsidR="00C94598">
        <w:t xml:space="preserve">Measurements for LTE-NR </w:t>
      </w:r>
      <w:r w:rsidR="008706EF">
        <w:t xml:space="preserve">tight interworking </w:t>
      </w:r>
      <w:r w:rsidR="00C94598">
        <w:t>operation</w:t>
      </w:r>
    </w:p>
    <w:p w14:paraId="4686732F" w14:textId="77777777" w:rsidR="008706EF" w:rsidRPr="006E13D1" w:rsidRDefault="008706EF" w:rsidP="008706EF">
      <w:pPr>
        <w:pStyle w:val="Heading2"/>
      </w:pPr>
      <w:r>
        <w:t>2</w:t>
      </w:r>
      <w:r w:rsidRPr="006E13D1">
        <w:t>.1</w:t>
      </w:r>
      <w:r w:rsidRPr="006E13D1">
        <w:tab/>
      </w:r>
      <w:r>
        <w:t xml:space="preserve">Measurements in LTE </w:t>
      </w:r>
    </w:p>
    <w:p w14:paraId="2EFDA04D" w14:textId="77777777" w:rsidR="008706EF" w:rsidRDefault="008706EF" w:rsidP="008706EF">
      <w:r>
        <w:t>The measurements in LTE can be categorized into three main classes</w:t>
      </w:r>
    </w:p>
    <w:p w14:paraId="52FB75B9" w14:textId="77777777" w:rsidR="008706EF" w:rsidRDefault="008706EF" w:rsidP="008706EF">
      <w:pPr>
        <w:pStyle w:val="ListParagraph"/>
        <w:numPr>
          <w:ilvl w:val="0"/>
          <w:numId w:val="7"/>
        </w:numPr>
      </w:pPr>
      <w:r>
        <w:t>Intra-frequency measurements within the current serving carrier(s)</w:t>
      </w:r>
    </w:p>
    <w:p w14:paraId="13E02C8D" w14:textId="77777777" w:rsidR="008706EF" w:rsidRDefault="008706EF" w:rsidP="008706EF">
      <w:pPr>
        <w:pStyle w:val="ListParagraph"/>
        <w:numPr>
          <w:ilvl w:val="0"/>
          <w:numId w:val="7"/>
        </w:numPr>
      </w:pPr>
      <w:r>
        <w:t>Inter-frequency measurements of other carriers than those currently used by the UE</w:t>
      </w:r>
    </w:p>
    <w:p w14:paraId="1A19D7BF" w14:textId="77777777" w:rsidR="008706EF" w:rsidRDefault="008706EF" w:rsidP="008706EF">
      <w:pPr>
        <w:pStyle w:val="ListParagraph"/>
        <w:numPr>
          <w:ilvl w:val="0"/>
          <w:numId w:val="7"/>
        </w:numPr>
      </w:pPr>
      <w:r>
        <w:t>Inter-RAT measurements of RATs other than LTE</w:t>
      </w:r>
    </w:p>
    <w:p w14:paraId="6C76688A" w14:textId="77777777" w:rsidR="008706EF" w:rsidRDefault="008706EF" w:rsidP="008706EF">
      <w:r>
        <w:t>The basic flavour is the intra-frequency measurements: Measurements to ensure the UE is being served by the best possible cell in the current carrier frequency. If (and when) the measurements indicate there is no good target, the inter-frequency measurements are done to continue operating with the LTE system, just on different carrier frequencies. The inter-frequency measurements are typically minimized because they consume UE battery and may have adverse impacts to the UE operation under the serving carrier (e.g. measurement gaps or glitches due to RF frequency tuning), but are still preferable to not having service at all since inter-frequency handovers still allow service continuity. Finally, inter-RAT measurements are similar to inter-frequency measurements but their target is a different RAT, and with the extra caveat that service continuity across inter-RAT handover may not be possible, so it makes sense to avoid inter-RAT handovers where possible. Also, it is complex to allow all possible measurements within a RAT also within another RAT, so the measurements are rather abstracted and only allow detecting the presence of a suitable inter-RAT carrier.</w:t>
      </w:r>
    </w:p>
    <w:p w14:paraId="15957224" w14:textId="77777777" w:rsidR="008706EF" w:rsidRDefault="008706EF" w:rsidP="008706EF">
      <w:r w:rsidRPr="008706EF">
        <w:rPr>
          <w:b/>
        </w:rPr>
        <w:t>Observation 1:</w:t>
      </w:r>
      <w:r>
        <w:t xml:space="preserve"> The inter-RAT measurements are typically used only when intra-LTE measurements are not sufficient, i.e. as a “fallback mechanism” for cases when LTE coverage is lost.</w:t>
      </w:r>
    </w:p>
    <w:p w14:paraId="21489A3C" w14:textId="77777777" w:rsidR="008706EF" w:rsidRDefault="008706EF" w:rsidP="008706EF">
      <w:r>
        <w:lastRenderedPageBreak/>
        <w:t>To these ends, the LTE specification currently defines only two inter-RAT measurement events: B1 (</w:t>
      </w:r>
      <w:r w:rsidRPr="00AC383E">
        <w:rPr>
          <w:i/>
        </w:rPr>
        <w:t xml:space="preserve">inter-RAT </w:t>
      </w:r>
      <w:r w:rsidR="00AC383E" w:rsidRPr="00AC383E">
        <w:rPr>
          <w:i/>
        </w:rPr>
        <w:t>Neighbour becomes better than absolute threshold</w:t>
      </w:r>
      <w:r>
        <w:t>) and B2 (</w:t>
      </w:r>
      <w:r w:rsidR="00AC383E" w:rsidRPr="00AC383E">
        <w:rPr>
          <w:i/>
        </w:rPr>
        <w:t>PCell becomes worse than absolute threshold1 AND inter-RAT neighbour becomes better than another absolute threshold2</w:t>
      </w:r>
      <w:r>
        <w:t>). B1 can be used to do inter-RAT handover to a cell when it is detected, whereas B2 can be used to condition the handover only to cases when the serving cell is also growing weaker at the same time.</w:t>
      </w:r>
    </w:p>
    <w:p w14:paraId="7951AA63" w14:textId="77777777" w:rsidR="008706EF" w:rsidRPr="00AC383E" w:rsidRDefault="008706EF" w:rsidP="008706EF">
      <w:r>
        <w:t>Additionally, the WLAN measurements defined three other events: W1 (</w:t>
      </w:r>
      <w:r w:rsidR="00AC383E" w:rsidRPr="00AC383E">
        <w:rPr>
          <w:i/>
        </w:rPr>
        <w:t>WLAN becomes better than a threshold;</w:t>
      </w:r>
      <w:r w:rsidRPr="00AC383E">
        <w:rPr>
          <w:i/>
        </w:rPr>
        <w:t xml:space="preserve"> </w:t>
      </w:r>
      <w:r w:rsidRPr="00841696">
        <w:t>similar to B1</w:t>
      </w:r>
      <w:r w:rsidR="00841696">
        <w:t xml:space="preserve"> measurement event</w:t>
      </w:r>
      <w:r>
        <w:t>), W2 (</w:t>
      </w:r>
      <w:r w:rsidR="00AC383E" w:rsidRPr="00AC383E">
        <w:rPr>
          <w:i/>
        </w:rPr>
        <w:t>All WLAN inside WLAN mobility set become worse than a threshold1 and a WLAN outside WLAN mobility set becomes better than a threshold2</w:t>
      </w:r>
      <w:r w:rsidR="00841696">
        <w:t>; similar to measurement event B2</w:t>
      </w:r>
      <w:r>
        <w:t>) and W3 (</w:t>
      </w:r>
      <w:r w:rsidR="00AC383E" w:rsidRPr="00AC383E">
        <w:rPr>
          <w:i/>
        </w:rPr>
        <w:t>All WLAN inside WLAN mobility set become worse than a threshold</w:t>
      </w:r>
      <w:r w:rsidR="00841696">
        <w:t>; similar to measurement event A2</w:t>
      </w:r>
      <w:r>
        <w:t>).</w:t>
      </w:r>
      <w:r w:rsidR="00AC383E">
        <w:t xml:space="preserve"> The concept of mobility set in these events refers to the operational WLAN APs during the LWA operation, which means that the events W2 and W3 are </w:t>
      </w:r>
      <w:r w:rsidR="00AC383E">
        <w:rPr>
          <w:b/>
        </w:rPr>
        <w:t>only</w:t>
      </w:r>
      <w:r w:rsidR="00AC383E">
        <w:t xml:space="preserve"> relevant during the LWA operation. Further, the event W1 was explicitly defined </w:t>
      </w:r>
      <w:r w:rsidR="00AC383E">
        <w:rPr>
          <w:b/>
        </w:rPr>
        <w:t>not to work</w:t>
      </w:r>
      <w:r w:rsidR="00AC383E">
        <w:t xml:space="preserve"> while LWA was configured, i.e. it was intended to be used for the purpose of configuring the LWA operation.</w:t>
      </w:r>
    </w:p>
    <w:p w14:paraId="4D0299D1" w14:textId="77777777" w:rsidR="008706EF" w:rsidRDefault="008706EF" w:rsidP="008706EF">
      <w:r w:rsidRPr="0033787E">
        <w:rPr>
          <w:b/>
        </w:rPr>
        <w:t>Observation 2:</w:t>
      </w:r>
      <w:r>
        <w:t xml:space="preserve"> </w:t>
      </w:r>
      <w:r w:rsidR="0033787E">
        <w:t>WLAN event W1 is only usable before LWA operation, whereas WLAN events W2 and W3 are only usable during the LWA operation.</w:t>
      </w:r>
    </w:p>
    <w:p w14:paraId="77D3B885" w14:textId="77777777" w:rsidR="0033787E" w:rsidRDefault="0033787E" w:rsidP="008706EF">
      <w:r>
        <w:t>Based on these, we propose that the inter-RAT measurements of NR that are defined within LTE should be relatively simple, e.g. based on just existing B1 and B2.</w:t>
      </w:r>
    </w:p>
    <w:p w14:paraId="105ABF1B" w14:textId="77777777" w:rsidR="0033787E" w:rsidRDefault="0033787E" w:rsidP="008706EF">
      <w:r w:rsidRPr="0033787E">
        <w:rPr>
          <w:b/>
        </w:rPr>
        <w:t>Proposal 1:</w:t>
      </w:r>
      <w:r>
        <w:t xml:space="preserve"> NR measurement events defined within LTE specification should include at least events B1 and B2.</w:t>
      </w:r>
    </w:p>
    <w:p w14:paraId="04621ACC" w14:textId="77777777" w:rsidR="00C94598" w:rsidRPr="006E13D1" w:rsidRDefault="00C94598" w:rsidP="00C94598">
      <w:pPr>
        <w:pStyle w:val="Heading2"/>
      </w:pPr>
      <w:r>
        <w:t>2</w:t>
      </w:r>
      <w:r w:rsidRPr="006E13D1">
        <w:t>.</w:t>
      </w:r>
      <w:r w:rsidR="0033787E">
        <w:t>2</w:t>
      </w:r>
      <w:r w:rsidRPr="006E13D1">
        <w:tab/>
      </w:r>
      <w:r>
        <w:t>Measurements before LTE-NR setup</w:t>
      </w:r>
      <w:r w:rsidRPr="006E13D1">
        <w:t xml:space="preserve"> </w:t>
      </w:r>
    </w:p>
    <w:p w14:paraId="42AAA920" w14:textId="77777777" w:rsidR="00C94598" w:rsidRDefault="00C94598" w:rsidP="00CD4C7B">
      <w:r>
        <w:t>The LTE-NR operation is inherently a hybrid of two things: Dual connectivity and inter-RAT operation. The closest existing analogic procedure for it is the LTE-WLAN aggregation (LWA), where UE is operating under both LTE and WLAN at the same time. However, the different to LTE-NR operation is that WLAN is not a 3GPP RAT but NR is a 3GPP RAT.</w:t>
      </w:r>
    </w:p>
    <w:p w14:paraId="28270020" w14:textId="77777777" w:rsidR="00C94598" w:rsidRDefault="00C94598" w:rsidP="00CD4C7B">
      <w:r>
        <w:t xml:space="preserve">The purpose of measurements before LTE-NR operation can be </w:t>
      </w:r>
      <w:r w:rsidR="007F6B6C">
        <w:t xml:space="preserve">roughly categorized </w:t>
      </w:r>
      <w:r>
        <w:t>as follows:</w:t>
      </w:r>
    </w:p>
    <w:p w14:paraId="7B3C9ABF" w14:textId="77777777" w:rsidR="00C94598" w:rsidRDefault="00C94598" w:rsidP="007F6B6C">
      <w:pPr>
        <w:pStyle w:val="ListParagraph"/>
        <w:numPr>
          <w:ilvl w:val="0"/>
          <w:numId w:val="6"/>
        </w:numPr>
      </w:pPr>
      <w:r w:rsidRPr="00C94598">
        <w:rPr>
          <w:b/>
        </w:rPr>
        <w:t>Intra-LTE mobility:</w:t>
      </w:r>
      <w:r>
        <w:t xml:space="preserve"> Ensuring UE is operating under the appropriate frequency layer based on its capabilities, and ensuring the UE connection is maintained in a robust manner.</w:t>
      </w:r>
    </w:p>
    <w:p w14:paraId="5F098A65" w14:textId="77777777" w:rsidR="00C94598" w:rsidRPr="007F6B6C" w:rsidRDefault="00C94598" w:rsidP="007F6B6C">
      <w:pPr>
        <w:pStyle w:val="ListParagraph"/>
        <w:numPr>
          <w:ilvl w:val="0"/>
          <w:numId w:val="6"/>
        </w:numPr>
      </w:pPr>
      <w:r w:rsidRPr="00C94598">
        <w:rPr>
          <w:b/>
        </w:rPr>
        <w:t xml:space="preserve">Efficient resource utilization (e.g. CA/DC/LWA): </w:t>
      </w:r>
      <w:r w:rsidR="007F6B6C" w:rsidRPr="007F6B6C">
        <w:t>Ensuring</w:t>
      </w:r>
      <w:r w:rsidR="007F6B6C">
        <w:t xml:space="preserve"> eNB has information on which cells are able to serve UE so as to maximize its frequency/RAT resource utilization</w:t>
      </w:r>
    </w:p>
    <w:p w14:paraId="0C0F2C05" w14:textId="77777777" w:rsidR="00C94598" w:rsidRDefault="00C94598" w:rsidP="007F6B6C">
      <w:pPr>
        <w:pStyle w:val="ListParagraph"/>
        <w:numPr>
          <w:ilvl w:val="0"/>
          <w:numId w:val="6"/>
        </w:numPr>
      </w:pPr>
      <w:r w:rsidRPr="007F6B6C">
        <w:rPr>
          <w:b/>
        </w:rPr>
        <w:t>Inter-RAT mobility:</w:t>
      </w:r>
      <w:r>
        <w:t xml:space="preserve"> </w:t>
      </w:r>
      <w:r w:rsidR="007F6B6C">
        <w:t>Finding alternative targets when the coverage of the current system runs out, or the other system is needed for other reasons (e.g. load balancing).</w:t>
      </w:r>
    </w:p>
    <w:p w14:paraId="3D1881CD" w14:textId="77777777" w:rsidR="007F6B6C" w:rsidRDefault="007F6B6C" w:rsidP="00CD4C7B">
      <w:r>
        <w:t>Obviously, any measurements done before LTE-NR setup fall in the second category: Ensuring UE is utilizing the most efficient resources it needs.</w:t>
      </w:r>
    </w:p>
    <w:p w14:paraId="703861F9" w14:textId="68B86CDF" w:rsidR="008706EF" w:rsidRDefault="008706EF" w:rsidP="00CD4C7B">
      <w:r>
        <w:rPr>
          <w:b/>
        </w:rPr>
        <w:t>Observation 3</w:t>
      </w:r>
      <w:r w:rsidRPr="008706EF">
        <w:rPr>
          <w:b/>
        </w:rPr>
        <w:t>:</w:t>
      </w:r>
      <w:r>
        <w:t xml:space="preserve"> Measurements </w:t>
      </w:r>
      <w:r w:rsidR="0033787E">
        <w:t xml:space="preserve">needed </w:t>
      </w:r>
      <w:r>
        <w:t xml:space="preserve">for </w:t>
      </w:r>
      <w:r w:rsidR="0033787E">
        <w:t xml:space="preserve">initiating </w:t>
      </w:r>
      <w:r>
        <w:t xml:space="preserve">LTE-NR </w:t>
      </w:r>
      <w:r w:rsidR="0033787E">
        <w:t xml:space="preserve">tight interworking should </w:t>
      </w:r>
      <w:r>
        <w:t>attempt to find the “best available” resources to be used by the UE.</w:t>
      </w:r>
    </w:p>
    <w:p w14:paraId="16D8903C" w14:textId="29389050" w:rsidR="00DE2494" w:rsidRDefault="00DE2494" w:rsidP="00CD4C7B">
      <w:pPr>
        <w:rPr>
          <w:b/>
        </w:rPr>
      </w:pPr>
      <w:r>
        <w:t xml:space="preserve">For example: the LTE-NR could be used in areas where both the LTE and NR cells are good enough, and an event triggering when both LTE and NR are good enough could be defined. Currently, this can be done with two events: Event A1 (LTE Pcell becomes stronger than threshold 1) and Event B1 (NR neighbour cell becomes stronger than threshold 2). </w:t>
      </w:r>
    </w:p>
    <w:p w14:paraId="0C0C6227" w14:textId="32DD6448" w:rsidR="008706EF" w:rsidRDefault="0033787E" w:rsidP="00CD4C7B">
      <w:r w:rsidRPr="0033787E">
        <w:rPr>
          <w:b/>
        </w:rPr>
        <w:t>Proposal 2:</w:t>
      </w:r>
      <w:r>
        <w:t xml:space="preserve"> For activating LTE-NR tight interworking, define a new measurement event B3 (PCell becomes stronger than threshold1 AND neighbour gNB becomes stronger than threshold2) as a measurement event within LTE RRC. </w:t>
      </w:r>
    </w:p>
    <w:p w14:paraId="7B097FA6" w14:textId="07F98B88" w:rsidR="00DE2494" w:rsidRDefault="00DE2494" w:rsidP="001B49C9">
      <w:pPr>
        <w:rPr>
          <w:highlight w:val="yellow"/>
        </w:rPr>
      </w:pPr>
      <w:r>
        <w:rPr>
          <w:noProof/>
          <w:lang w:val="fi-FI" w:eastAsia="ja-JP"/>
        </w:rPr>
        <w:lastRenderedPageBreak/>
        <w:drawing>
          <wp:inline distT="0" distB="0" distL="0" distR="0" wp14:anchorId="1F9B5CEB" wp14:editId="05004FD1">
            <wp:extent cx="6122035" cy="38804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ventB3.png"/>
                    <pic:cNvPicPr/>
                  </pic:nvPicPr>
                  <pic:blipFill>
                    <a:blip r:embed="rId12">
                      <a:extLst>
                        <a:ext uri="{28A0092B-C50C-407E-A947-70E740481C1C}">
                          <a14:useLocalDpi xmlns:a14="http://schemas.microsoft.com/office/drawing/2010/main" val="0"/>
                        </a:ext>
                      </a:extLst>
                    </a:blip>
                    <a:stretch>
                      <a:fillRect/>
                    </a:stretch>
                  </pic:blipFill>
                  <pic:spPr>
                    <a:xfrm>
                      <a:off x="0" y="0"/>
                      <a:ext cx="6122035" cy="3880485"/>
                    </a:xfrm>
                    <a:prstGeom prst="rect">
                      <a:avLst/>
                    </a:prstGeom>
                  </pic:spPr>
                </pic:pic>
              </a:graphicData>
            </a:graphic>
          </wp:inline>
        </w:drawing>
      </w:r>
    </w:p>
    <w:p w14:paraId="269487EB" w14:textId="0326F16D" w:rsidR="00DE2494" w:rsidRPr="00EF340E" w:rsidRDefault="00DE2494" w:rsidP="00EF340E">
      <w:pPr>
        <w:pStyle w:val="Caption"/>
        <w:jc w:val="center"/>
        <w:rPr>
          <w:b/>
          <w:highlight w:val="yellow"/>
        </w:rPr>
      </w:pPr>
      <w:r w:rsidRPr="00EF340E">
        <w:rPr>
          <w:b/>
          <w:i w:val="0"/>
        </w:rPr>
        <w:t xml:space="preserve">Figure </w:t>
      </w:r>
      <w:r w:rsidRPr="00EF340E">
        <w:rPr>
          <w:b/>
          <w:i w:val="0"/>
        </w:rPr>
        <w:fldChar w:fldCharType="begin"/>
      </w:r>
      <w:r w:rsidRPr="00EF340E">
        <w:rPr>
          <w:b/>
          <w:i w:val="0"/>
        </w:rPr>
        <w:instrText xml:space="preserve"> SEQ Figure \* ARABIC </w:instrText>
      </w:r>
      <w:r w:rsidRPr="00EF340E">
        <w:rPr>
          <w:b/>
          <w:i w:val="0"/>
        </w:rPr>
        <w:fldChar w:fldCharType="separate"/>
      </w:r>
      <w:r w:rsidRPr="00EF340E">
        <w:rPr>
          <w:b/>
          <w:i w:val="0"/>
          <w:noProof/>
        </w:rPr>
        <w:t>1</w:t>
      </w:r>
      <w:r w:rsidRPr="00EF340E">
        <w:rPr>
          <w:b/>
          <w:i w:val="0"/>
        </w:rPr>
        <w:fldChar w:fldCharType="end"/>
      </w:r>
      <w:r w:rsidRPr="00EF340E">
        <w:rPr>
          <w:b/>
          <w:i w:val="0"/>
        </w:rPr>
        <w:t>. Example of event B3 usage</w:t>
      </w:r>
    </w:p>
    <w:p w14:paraId="695A9F54" w14:textId="77777777" w:rsidR="00CD4C7B" w:rsidRPr="006E13D1" w:rsidRDefault="00C94598" w:rsidP="00CD4C7B">
      <w:pPr>
        <w:pStyle w:val="Heading2"/>
      </w:pPr>
      <w:r>
        <w:t>2</w:t>
      </w:r>
      <w:r w:rsidR="00CD4C7B" w:rsidRPr="006E13D1">
        <w:t>.</w:t>
      </w:r>
      <w:r w:rsidR="0033787E">
        <w:t>3</w:t>
      </w:r>
      <w:r w:rsidR="00CD4C7B" w:rsidRPr="006E13D1">
        <w:tab/>
      </w:r>
      <w:r>
        <w:t>Measurements during LTE-NR operation</w:t>
      </w:r>
      <w:r w:rsidR="00CD4C7B" w:rsidRPr="006E13D1">
        <w:t xml:space="preserve"> </w:t>
      </w:r>
    </w:p>
    <w:p w14:paraId="549F3CB8" w14:textId="77777777" w:rsidR="0033787E" w:rsidRDefault="0033787E" w:rsidP="0033787E">
      <w:r>
        <w:t xml:space="preserve">Once the LTE-NR tight interworking has been configured, the NR SgNB is allowed to configure UE with measurements, and according to current decisions will also control </w:t>
      </w:r>
      <w:r w:rsidRPr="0033787E">
        <w:t>all</w:t>
      </w:r>
      <w:r>
        <w:t xml:space="preserve"> the NR measurements. This presents a dilemma: How should the measurement events configured by the NR SgNB interact with the measurement events configured by the LTE MeNB? Should they be coordinated fully, or should UE simply obey both commands by each node?</w:t>
      </w:r>
      <w:r w:rsidR="00F0558D">
        <w:t xml:space="preserve"> Or should MeNB always deconfigure the NR measurements when the LTE-NR is configured?</w:t>
      </w:r>
    </w:p>
    <w:p w14:paraId="7BE94B90" w14:textId="77777777" w:rsidR="0033787E" w:rsidRDefault="0033787E" w:rsidP="0033787E">
      <w:r>
        <w:t xml:space="preserve">The basic problem is that UE might be requested to send different measurement reports to each system: The reports sent to SgNB and MeNB are likely not going to have </w:t>
      </w:r>
      <w:r w:rsidR="00F0558D">
        <w:t xml:space="preserve">the </w:t>
      </w:r>
      <w:r>
        <w:t>exactly same ASN.1 format. Requiring each to comprehend the other would also require that each node fully comprehends the ASN.1 encoding used by the other, which is against the basic principle assumed so far: LTE and NR operation should be as separate as possible, to allow separate evolution of each system.</w:t>
      </w:r>
    </w:p>
    <w:p w14:paraId="4004C2A8" w14:textId="77777777" w:rsidR="0033787E" w:rsidRDefault="00841696" w:rsidP="0033787E">
      <w:r>
        <w:rPr>
          <w:b/>
        </w:rPr>
        <w:t>Observation 4</w:t>
      </w:r>
      <w:r w:rsidR="0033787E" w:rsidRPr="0033787E">
        <w:rPr>
          <w:b/>
        </w:rPr>
        <w:t xml:space="preserve">: </w:t>
      </w:r>
      <w:r w:rsidR="0033787E">
        <w:t>It is not reasonable to assume MeNB can fully understand either the NR measurement reporting format or the event triggers causing the report to be sent.</w:t>
      </w:r>
    </w:p>
    <w:p w14:paraId="11AC7DE0" w14:textId="77777777" w:rsidR="0033787E" w:rsidRPr="0033787E" w:rsidRDefault="0033787E" w:rsidP="0033787E">
      <w:r>
        <w:t xml:space="preserve">When LWA was specified, a similar question arose in a different context: How to deal with the “LWA mobility set” that was only relevant when the LWA was configured? The solution adopted there was to simply state that the event W1 was defined to be active </w:t>
      </w:r>
      <w:r>
        <w:rPr>
          <w:b/>
        </w:rPr>
        <w:t>only when</w:t>
      </w:r>
      <w:r>
        <w:t xml:space="preserve"> the mobility set was not configured, and therefore could never trigger during the LWA operation. Likewise, the events W2/W3 could only trigger when mobility set was configured, and would never trigger before LWA operation was allowed. We think a similar thinking could be followed for LTE-NR operation: Since the SgNB can configure the measurement events to handle intra-NR mobility, the UE should simply not trigger any events configured for NR measurement objects within the LTE part of the RRC configuration. </w:t>
      </w:r>
    </w:p>
    <w:p w14:paraId="2165C1DC" w14:textId="7AB0802E" w:rsidR="00841696" w:rsidRDefault="00841696" w:rsidP="00841696">
      <w:r w:rsidRPr="0033787E">
        <w:rPr>
          <w:b/>
        </w:rPr>
        <w:t>Proposal 3:</w:t>
      </w:r>
      <w:r>
        <w:t xml:space="preserve"> When LTE-NR tight interworking is configured, UE doesn’t trigger any measurement events li</w:t>
      </w:r>
      <w:r w:rsidR="00736530">
        <w:t>n</w:t>
      </w:r>
      <w:r>
        <w:t>ked to NR measurement objects that are defined within the LTE RRC.</w:t>
      </w:r>
    </w:p>
    <w:p w14:paraId="124A951C" w14:textId="03CE5339" w:rsidR="006A0BDA" w:rsidRDefault="00E56690" w:rsidP="00841696">
      <w:pPr>
        <w:rPr>
          <w:highlight w:val="yellow"/>
        </w:rPr>
      </w:pPr>
      <w:r>
        <w:object w:dxaOrig="13898" w:dyaOrig="8113" w14:anchorId="5234B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75pt;height:300.35pt" o:ole="">
            <v:imagedata r:id="rId13" o:title=""/>
          </v:shape>
          <o:OLEObject Type="Embed" ProgID="Visio.Drawing.11" ShapeID="_x0000_i1025" DrawAspect="Content" ObjectID="_1551883917" r:id="rId14"/>
        </w:object>
      </w:r>
    </w:p>
    <w:p w14:paraId="77FE4FE8" w14:textId="3EBB58EF" w:rsidR="006A0BDA" w:rsidRPr="00F5633F" w:rsidRDefault="006A0BDA" w:rsidP="006A0BDA">
      <w:pPr>
        <w:pStyle w:val="Caption"/>
        <w:jc w:val="center"/>
        <w:rPr>
          <w:b/>
          <w:i w:val="0"/>
          <w:highlight w:val="yellow"/>
        </w:rPr>
      </w:pPr>
      <w:r w:rsidRPr="00F5633F">
        <w:rPr>
          <w:b/>
          <w:i w:val="0"/>
        </w:rPr>
        <w:t xml:space="preserve">Figure </w:t>
      </w:r>
      <w:r w:rsidRPr="00F5633F">
        <w:rPr>
          <w:b/>
          <w:i w:val="0"/>
        </w:rPr>
        <w:fldChar w:fldCharType="begin"/>
      </w:r>
      <w:r w:rsidRPr="00F5633F">
        <w:rPr>
          <w:b/>
          <w:i w:val="0"/>
        </w:rPr>
        <w:instrText xml:space="preserve"> SEQ Figure \* ARABIC </w:instrText>
      </w:r>
      <w:r w:rsidRPr="00F5633F">
        <w:rPr>
          <w:b/>
          <w:i w:val="0"/>
        </w:rPr>
        <w:fldChar w:fldCharType="separate"/>
      </w:r>
      <w:r w:rsidRPr="00F5633F">
        <w:rPr>
          <w:b/>
          <w:i w:val="0"/>
          <w:noProof/>
        </w:rPr>
        <w:t>1</w:t>
      </w:r>
      <w:r w:rsidRPr="00F5633F">
        <w:rPr>
          <w:b/>
          <w:i w:val="0"/>
        </w:rPr>
        <w:fldChar w:fldCharType="end"/>
      </w:r>
      <w:r w:rsidRPr="00F5633F">
        <w:rPr>
          <w:b/>
          <w:i w:val="0"/>
        </w:rPr>
        <w:t xml:space="preserve">. </w:t>
      </w:r>
      <w:r>
        <w:rPr>
          <w:b/>
          <w:i w:val="0"/>
        </w:rPr>
        <w:t>Disabling of LTE-configured measurements during LTE-NR operation</w:t>
      </w:r>
      <w:r w:rsidRPr="00F5633F">
        <w:rPr>
          <w:b/>
          <w:i w:val="0"/>
        </w:rPr>
        <w:t xml:space="preserve"> </w:t>
      </w:r>
    </w:p>
    <w:p w14:paraId="1B1A6FD9" w14:textId="77777777" w:rsidR="00CD4C7B" w:rsidRPr="006E13D1" w:rsidRDefault="00C94598" w:rsidP="00CD4C7B">
      <w:pPr>
        <w:pStyle w:val="Heading2"/>
      </w:pPr>
      <w:r>
        <w:t>2</w:t>
      </w:r>
      <w:r w:rsidR="00CD4C7B" w:rsidRPr="006E13D1">
        <w:t>.</w:t>
      </w:r>
      <w:r w:rsidR="0033787E">
        <w:t>4</w:t>
      </w:r>
      <w:r w:rsidR="00CD4C7B" w:rsidRPr="006E13D1">
        <w:tab/>
      </w:r>
      <w:r>
        <w:t>Measurements after LTE-NR operation</w:t>
      </w:r>
      <w:r w:rsidR="00CD4C7B" w:rsidRPr="006E13D1">
        <w:t xml:space="preserve"> </w:t>
      </w:r>
      <w:bookmarkStart w:id="1" w:name="_GoBack"/>
      <w:bookmarkEnd w:id="1"/>
    </w:p>
    <w:p w14:paraId="604196FF" w14:textId="77777777" w:rsidR="0033787E" w:rsidRDefault="0033787E" w:rsidP="00CD4C7B">
      <w:r w:rsidRPr="00F0558D">
        <w:t xml:space="preserve">Once the LTE-NR tight interworking either </w:t>
      </w:r>
      <w:r w:rsidR="00F0558D">
        <w:t xml:space="preserve">suffers a SCG failure (i.e. the NR part </w:t>
      </w:r>
      <w:r w:rsidRPr="00F0558D">
        <w:t>fails</w:t>
      </w:r>
      <w:r w:rsidR="00F0558D">
        <w:t>)</w:t>
      </w:r>
      <w:r w:rsidRPr="00F0558D">
        <w:t xml:space="preserve"> or </w:t>
      </w:r>
      <w:r w:rsidR="00F0558D">
        <w:t>the NR part of the LTE-NR configuration is removed</w:t>
      </w:r>
      <w:r w:rsidRPr="00F0558D">
        <w:t xml:space="preserve">, the UE measurements should revert to the same </w:t>
      </w:r>
      <w:r w:rsidR="00F0558D" w:rsidRPr="00F0558D">
        <w:t xml:space="preserve">way of operating </w:t>
      </w:r>
      <w:r w:rsidRPr="00F0558D">
        <w:t>as without LTE-NR operation</w:t>
      </w:r>
      <w:r w:rsidR="00F0558D" w:rsidRPr="00F0558D">
        <w:t>. That is, it is up to MeNB to configure the measurements, and as soon as the NR configuration is removed, any already-configured measurement events may trigger again</w:t>
      </w:r>
      <w:r w:rsidR="00F0558D">
        <w:t>.</w:t>
      </w:r>
    </w:p>
    <w:p w14:paraId="7AFDC7D7" w14:textId="4069938D" w:rsidR="00841696" w:rsidRDefault="00841696" w:rsidP="001B274C">
      <w:r>
        <w:t xml:space="preserve">However, just like with LTE DC, any measurements configured within the NR part should remain even after S-RLF </w:t>
      </w:r>
      <w:proofErr w:type="gramStart"/>
      <w:r>
        <w:t>as long as</w:t>
      </w:r>
      <w:proofErr w:type="gramEnd"/>
      <w:r>
        <w:t xml:space="preserve"> the LTE-NR configuration remains at the UE.</w:t>
      </w:r>
      <w:r w:rsidR="00A92128">
        <w:t xml:space="preserve"> As discussed in </w:t>
      </w:r>
      <w:hyperlink r:id="rId15" w:history="1">
        <w:r w:rsidR="00A92128" w:rsidRPr="00A92128">
          <w:rPr>
            <w:rStyle w:val="Hyperlink"/>
          </w:rPr>
          <w:t>R2-1702631</w:t>
        </w:r>
      </w:hyperlink>
      <w:r w:rsidR="00A92128">
        <w:t>, it should be up to SgNB which actions to take after the S-RLF, so the UE measurements should continue until the LTE-NR configuration is released.</w:t>
      </w:r>
      <w:r>
        <w:t xml:space="preserve"> </w:t>
      </w:r>
    </w:p>
    <w:p w14:paraId="74E88BC6" w14:textId="77777777" w:rsidR="0033787E" w:rsidRDefault="00534416" w:rsidP="00CD4C7B">
      <w:r>
        <w:rPr>
          <w:b/>
        </w:rPr>
        <w:t>Proposal 4</w:t>
      </w:r>
      <w:r w:rsidR="00841696" w:rsidRPr="00841696">
        <w:rPr>
          <w:b/>
        </w:rPr>
        <w:t>:</w:t>
      </w:r>
      <w:r w:rsidR="00841696">
        <w:t xml:space="preserve"> UE continues measurements based on SgNB configuration even after S-RLF (i.e. until the NR configuration part is removed).</w:t>
      </w:r>
    </w:p>
    <w:p w14:paraId="184710C3" w14:textId="77777777" w:rsidR="00CD4C7B" w:rsidRPr="006E13D1" w:rsidRDefault="00CD4C7B" w:rsidP="00CD4C7B">
      <w:pPr>
        <w:pStyle w:val="Heading1"/>
      </w:pPr>
      <w:r w:rsidRPr="006E13D1">
        <w:t>4</w:t>
      </w:r>
      <w:r w:rsidRPr="006E13D1">
        <w:tab/>
      </w:r>
      <w:r w:rsidR="00841696">
        <w:t>Conclusions</w:t>
      </w:r>
    </w:p>
    <w:p w14:paraId="795AB69E" w14:textId="77777777" w:rsidR="00841696" w:rsidRDefault="00841696" w:rsidP="00CD4C7B">
      <w:r>
        <w:t>We have discussed the handling of measurements during LTE-NR tight interworking and observed the following:</w:t>
      </w:r>
      <w:r w:rsidR="00CD4C7B" w:rsidRPr="006E13D1">
        <w:t xml:space="preserve"> </w:t>
      </w:r>
    </w:p>
    <w:p w14:paraId="281CCAEE" w14:textId="77777777" w:rsidR="00841696" w:rsidRDefault="00841696" w:rsidP="00841696">
      <w:r w:rsidRPr="008706EF">
        <w:rPr>
          <w:b/>
        </w:rPr>
        <w:t>Observation 1:</w:t>
      </w:r>
      <w:r>
        <w:t xml:space="preserve"> The inter-RAT measurements are typically used only when intra-LTE measurements are not sufficient, i.e. as a “fallback mechanism” for cases when LTE coverage is lost.</w:t>
      </w:r>
    </w:p>
    <w:p w14:paraId="73A1C5EE" w14:textId="77777777" w:rsidR="00841696" w:rsidRDefault="00841696" w:rsidP="00841696">
      <w:r w:rsidRPr="0033787E">
        <w:rPr>
          <w:b/>
        </w:rPr>
        <w:t>Observation 2:</w:t>
      </w:r>
      <w:r>
        <w:t xml:space="preserve"> WLAN event W1 is only usable before LWA operation, whereas WLAN events W2 and W3 are only usable during the LWA operation.</w:t>
      </w:r>
    </w:p>
    <w:p w14:paraId="20332184" w14:textId="2D4E6BCE" w:rsidR="00841696" w:rsidRDefault="00841696" w:rsidP="00841696">
      <w:r>
        <w:rPr>
          <w:b/>
        </w:rPr>
        <w:t>Observation 3</w:t>
      </w:r>
      <w:r w:rsidRPr="008706EF">
        <w:rPr>
          <w:b/>
        </w:rPr>
        <w:t>:</w:t>
      </w:r>
      <w:r>
        <w:t xml:space="preserve"> Measurements needed for initiating LTE-NR tight interworking should attempt to find the “best available” resources to be used by the UE.</w:t>
      </w:r>
    </w:p>
    <w:p w14:paraId="649987B6" w14:textId="77777777" w:rsidR="00841696" w:rsidRDefault="00534416" w:rsidP="00841696">
      <w:r>
        <w:rPr>
          <w:b/>
        </w:rPr>
        <w:t>Observation 4</w:t>
      </w:r>
      <w:r w:rsidR="00841696" w:rsidRPr="0033787E">
        <w:rPr>
          <w:b/>
        </w:rPr>
        <w:t xml:space="preserve">: </w:t>
      </w:r>
      <w:r w:rsidR="00841696">
        <w:t>It is not reasonable to assume MeNB can fully understand either the NR measurement reporting format or the event triggers causing the report to be sent.</w:t>
      </w:r>
    </w:p>
    <w:p w14:paraId="006BB2F1" w14:textId="77777777" w:rsidR="00841696" w:rsidRDefault="00841696" w:rsidP="00841696">
      <w:r>
        <w:t>Based on these, we propose the following:</w:t>
      </w:r>
    </w:p>
    <w:p w14:paraId="3EBC6F30" w14:textId="77777777" w:rsidR="00841696" w:rsidRDefault="00841696" w:rsidP="00841696">
      <w:r w:rsidRPr="0033787E">
        <w:rPr>
          <w:b/>
        </w:rPr>
        <w:t>Proposal 1:</w:t>
      </w:r>
      <w:r>
        <w:t xml:space="preserve"> NR measurement events defined within LTE specification should include at least events B1 and B2.</w:t>
      </w:r>
    </w:p>
    <w:p w14:paraId="5E0261A6" w14:textId="75D0A25A" w:rsidR="00841696" w:rsidRDefault="00841696" w:rsidP="00841696">
      <w:r w:rsidRPr="0033787E">
        <w:rPr>
          <w:b/>
        </w:rPr>
        <w:lastRenderedPageBreak/>
        <w:t>Proposal 2:</w:t>
      </w:r>
      <w:r>
        <w:t xml:space="preserve"> For activating LTE-NR tight interworking, define a new measurement event B3 (PCell becomes stronger than threshold1 AND neighbour gNB becomes stronger than threshold2) as a measurement event within LTE RRC. </w:t>
      </w:r>
    </w:p>
    <w:p w14:paraId="1C69011D" w14:textId="77777777" w:rsidR="00841696" w:rsidRDefault="00841696" w:rsidP="00841696">
      <w:r w:rsidRPr="0033787E">
        <w:rPr>
          <w:b/>
        </w:rPr>
        <w:t>Proposal 3:</w:t>
      </w:r>
      <w:r>
        <w:t xml:space="preserve"> When LTE-NR tight interworking is configured, UE doesn’t trigger any measurement events liked to NR measurement objects that are defined within the LTE RRC.</w:t>
      </w:r>
    </w:p>
    <w:p w14:paraId="035C66EB" w14:textId="77777777" w:rsidR="00841696" w:rsidRDefault="00534416" w:rsidP="00841696">
      <w:r>
        <w:rPr>
          <w:b/>
        </w:rPr>
        <w:t>Proposal 4</w:t>
      </w:r>
      <w:r w:rsidR="00841696" w:rsidRPr="00841696">
        <w:rPr>
          <w:b/>
        </w:rPr>
        <w:t>:</w:t>
      </w:r>
      <w:r w:rsidR="00841696">
        <w:t xml:space="preserve"> UE continues measurements based on SgNB configuration even after S-RLF (i.e. until the NR configuration part is removed).</w:t>
      </w:r>
    </w:p>
    <w:p w14:paraId="0AE4ED63"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480AF" w14:textId="77777777" w:rsidR="00554F8A" w:rsidRDefault="00554F8A">
      <w:r>
        <w:separator/>
      </w:r>
    </w:p>
  </w:endnote>
  <w:endnote w:type="continuationSeparator" w:id="0">
    <w:p w14:paraId="01C95FFB" w14:textId="77777777" w:rsidR="00554F8A" w:rsidRDefault="00554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18B78" w14:textId="77777777" w:rsidR="00554F8A" w:rsidRDefault="00554F8A">
      <w:r>
        <w:separator/>
      </w:r>
    </w:p>
  </w:footnote>
  <w:footnote w:type="continuationSeparator" w:id="0">
    <w:p w14:paraId="19202A53" w14:textId="77777777" w:rsidR="00554F8A" w:rsidRDefault="00554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7F173A7"/>
    <w:multiLevelType w:val="hybridMultilevel"/>
    <w:tmpl w:val="4EAC794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6E2E2F7D"/>
    <w:multiLevelType w:val="hybridMultilevel"/>
    <w:tmpl w:val="72D60B48"/>
    <w:lvl w:ilvl="0" w:tplc="040B0015">
      <w:start w:val="1"/>
      <w:numFmt w:val="upp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71272958"/>
    <w:multiLevelType w:val="hybridMultilevel"/>
    <w:tmpl w:val="BC6030E2"/>
    <w:lvl w:ilvl="0" w:tplc="7EDA0F9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45075"/>
    <w:rsid w:val="001741A0"/>
    <w:rsid w:val="00194CD0"/>
    <w:rsid w:val="001B274C"/>
    <w:rsid w:val="001B49C9"/>
    <w:rsid w:val="001F168B"/>
    <w:rsid w:val="001F7831"/>
    <w:rsid w:val="00204045"/>
    <w:rsid w:val="0022606D"/>
    <w:rsid w:val="002747EC"/>
    <w:rsid w:val="002855BF"/>
    <w:rsid w:val="002F0D22"/>
    <w:rsid w:val="002F6573"/>
    <w:rsid w:val="003172DC"/>
    <w:rsid w:val="00326069"/>
    <w:rsid w:val="0033787E"/>
    <w:rsid w:val="0035462D"/>
    <w:rsid w:val="003B40AD"/>
    <w:rsid w:val="003C4E37"/>
    <w:rsid w:val="003E16BE"/>
    <w:rsid w:val="00401855"/>
    <w:rsid w:val="00477455"/>
    <w:rsid w:val="004D3578"/>
    <w:rsid w:val="004D380D"/>
    <w:rsid w:val="004E213A"/>
    <w:rsid w:val="00503171"/>
    <w:rsid w:val="00506C28"/>
    <w:rsid w:val="00534416"/>
    <w:rsid w:val="00534DA0"/>
    <w:rsid w:val="00543E6C"/>
    <w:rsid w:val="00554F8A"/>
    <w:rsid w:val="00565087"/>
    <w:rsid w:val="0056573F"/>
    <w:rsid w:val="00611566"/>
    <w:rsid w:val="006364EB"/>
    <w:rsid w:val="00646D99"/>
    <w:rsid w:val="00656910"/>
    <w:rsid w:val="006A0BDA"/>
    <w:rsid w:val="006C66D8"/>
    <w:rsid w:val="006D1E24"/>
    <w:rsid w:val="006E1417"/>
    <w:rsid w:val="006F6A2C"/>
    <w:rsid w:val="00734A5B"/>
    <w:rsid w:val="00736530"/>
    <w:rsid w:val="00744E76"/>
    <w:rsid w:val="00757D40"/>
    <w:rsid w:val="00781F0F"/>
    <w:rsid w:val="0078727C"/>
    <w:rsid w:val="0079049D"/>
    <w:rsid w:val="007B18D8"/>
    <w:rsid w:val="007C095F"/>
    <w:rsid w:val="007F6B6C"/>
    <w:rsid w:val="008028A4"/>
    <w:rsid w:val="00813245"/>
    <w:rsid w:val="00841696"/>
    <w:rsid w:val="008706EF"/>
    <w:rsid w:val="008768CA"/>
    <w:rsid w:val="00877EF9"/>
    <w:rsid w:val="00880559"/>
    <w:rsid w:val="008B5306"/>
    <w:rsid w:val="0090271F"/>
    <w:rsid w:val="00902DB9"/>
    <w:rsid w:val="0090466A"/>
    <w:rsid w:val="00936071"/>
    <w:rsid w:val="00940212"/>
    <w:rsid w:val="00942EC2"/>
    <w:rsid w:val="00961B32"/>
    <w:rsid w:val="00974BB0"/>
    <w:rsid w:val="009A0AF3"/>
    <w:rsid w:val="009B07CD"/>
    <w:rsid w:val="009C19E9"/>
    <w:rsid w:val="00A10F02"/>
    <w:rsid w:val="00A204CA"/>
    <w:rsid w:val="00A53724"/>
    <w:rsid w:val="00A82346"/>
    <w:rsid w:val="00A92128"/>
    <w:rsid w:val="00A9671C"/>
    <w:rsid w:val="00AA1553"/>
    <w:rsid w:val="00AC383E"/>
    <w:rsid w:val="00AD7B74"/>
    <w:rsid w:val="00AD7FE1"/>
    <w:rsid w:val="00B15449"/>
    <w:rsid w:val="00B22C64"/>
    <w:rsid w:val="00B47FD1"/>
    <w:rsid w:val="00B516BB"/>
    <w:rsid w:val="00BA1B73"/>
    <w:rsid w:val="00BF2566"/>
    <w:rsid w:val="00C12B51"/>
    <w:rsid w:val="00C24650"/>
    <w:rsid w:val="00C33079"/>
    <w:rsid w:val="00C83A13"/>
    <w:rsid w:val="00C92967"/>
    <w:rsid w:val="00C94598"/>
    <w:rsid w:val="00CA3D0C"/>
    <w:rsid w:val="00CA654B"/>
    <w:rsid w:val="00CD4C7B"/>
    <w:rsid w:val="00D44714"/>
    <w:rsid w:val="00D738D6"/>
    <w:rsid w:val="00D80795"/>
    <w:rsid w:val="00D87E00"/>
    <w:rsid w:val="00D9134D"/>
    <w:rsid w:val="00D9198E"/>
    <w:rsid w:val="00D96D11"/>
    <w:rsid w:val="00DA7A03"/>
    <w:rsid w:val="00DB1818"/>
    <w:rsid w:val="00DC309B"/>
    <w:rsid w:val="00DC4DA2"/>
    <w:rsid w:val="00DE2494"/>
    <w:rsid w:val="00E1006E"/>
    <w:rsid w:val="00E56690"/>
    <w:rsid w:val="00E62835"/>
    <w:rsid w:val="00E77645"/>
    <w:rsid w:val="00E83697"/>
    <w:rsid w:val="00EC41C9"/>
    <w:rsid w:val="00EC4A25"/>
    <w:rsid w:val="00EF340E"/>
    <w:rsid w:val="00EF6FC0"/>
    <w:rsid w:val="00F025A2"/>
    <w:rsid w:val="00F0558D"/>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88253B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AD7F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D7FE1"/>
    <w:rPr>
      <w:rFonts w:ascii="Arial" w:eastAsia="MS Mincho" w:hAnsi="Arial"/>
      <w:szCs w:val="24"/>
    </w:rPr>
  </w:style>
  <w:style w:type="paragraph" w:styleId="ListParagraph">
    <w:name w:val="List Paragraph"/>
    <w:basedOn w:val="Normal"/>
    <w:uiPriority w:val="34"/>
    <w:qFormat/>
    <w:rsid w:val="00C94598"/>
    <w:pPr>
      <w:ind w:left="720"/>
      <w:contextualSpacing/>
    </w:pPr>
  </w:style>
  <w:style w:type="paragraph" w:styleId="Caption">
    <w:name w:val="caption"/>
    <w:basedOn w:val="Normal"/>
    <w:next w:val="Normal"/>
    <w:unhideWhenUsed/>
    <w:qFormat/>
    <w:rsid w:val="00DE2494"/>
    <w:pPr>
      <w:spacing w:after="200"/>
    </w:pPr>
    <w:rPr>
      <w:i/>
      <w:iCs/>
      <w:color w:val="44546A" w:themeColor="text2"/>
      <w:sz w:val="18"/>
      <w:szCs w:val="18"/>
    </w:rPr>
  </w:style>
  <w:style w:type="paragraph" w:styleId="BalloonText">
    <w:name w:val="Balloon Text"/>
    <w:basedOn w:val="Normal"/>
    <w:link w:val="BalloonTextChar"/>
    <w:rsid w:val="006A0BDA"/>
    <w:pPr>
      <w:spacing w:after="0"/>
    </w:pPr>
    <w:rPr>
      <w:rFonts w:ascii="Segoe UI" w:hAnsi="Segoe UI" w:cs="Segoe UI"/>
      <w:sz w:val="18"/>
      <w:szCs w:val="18"/>
    </w:rPr>
  </w:style>
  <w:style w:type="character" w:customStyle="1" w:styleId="BalloonTextChar">
    <w:name w:val="Balloon Text Char"/>
    <w:basedOn w:val="DefaultParagraphFont"/>
    <w:link w:val="BalloonText"/>
    <w:rsid w:val="006A0BDA"/>
    <w:rPr>
      <w:rFonts w:ascii="Segoe UI" w:hAnsi="Segoe UI" w:cs="Segoe UI"/>
      <w:sz w:val="18"/>
      <w:szCs w:val="18"/>
      <w:lang w:eastAsia="en-US"/>
    </w:rPr>
  </w:style>
  <w:style w:type="character" w:styleId="Mention">
    <w:name w:val="Mention"/>
    <w:basedOn w:val="DefaultParagraphFont"/>
    <w:uiPriority w:val="99"/>
    <w:semiHidden/>
    <w:unhideWhenUsed/>
    <w:rsid w:val="00A9212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Docs/R2-1702631.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SP-5AIRPNAIUNRU-859666464-43</_dlc_DocId>
    <_dlc_DocIdUrl xmlns="71c5aaf6-e6ce-465b-b873-5148d2a4c105">
      <Url>https://nokia.sharepoint.com/sites/c5g/e2earch/_layouts/15/DocIdRedir.aspx?ID=SP-5AIRPNAIUNRU-859666464-43</Url>
      <Description>SP-5AIRPNAIUNRU-859666464-43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B8F69-B404-4EBE-BC1C-6BBCF2F1DAA2}">
  <ds:schemaRefs>
    <ds:schemaRef ds:uri="http://purl.org/dc/dcmitype/"/>
    <ds:schemaRef ds:uri="71c5aaf6-e6ce-465b-b873-5148d2a4c105"/>
    <ds:schemaRef ds:uri="3b34c8f0-1ef5-4d1e-bb66-517ce7fe7356"/>
    <ds:schemaRef ds:uri="a3840f4f-04be-43d1-b2ef-6ff1382503c7"/>
    <ds:schemaRef ds:uri="http://purl.org/dc/elements/1.1/"/>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metadata/properties"/>
  </ds:schemaRefs>
</ds:datastoreItem>
</file>

<file path=customXml/itemProps2.xml><?xml version="1.0" encoding="utf-8"?>
<ds:datastoreItem xmlns:ds="http://schemas.openxmlformats.org/officeDocument/2006/customXml" ds:itemID="{D7C1671C-A926-4F1D-BD7B-ED248781F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4.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5.xml><?xml version="1.0" encoding="utf-8"?>
<ds:datastoreItem xmlns:ds="http://schemas.openxmlformats.org/officeDocument/2006/customXml" ds:itemID="{9827C44E-0D6B-4E53-BBB0-A42281504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334</TotalTime>
  <Pages>5</Pages>
  <Words>1719</Words>
  <Characters>9298</Characters>
  <Application>Microsoft Office Word</Application>
  <DocSecurity>0</DocSecurity>
  <Lines>216</Lines>
  <Paragraphs>169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10848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17</cp:revision>
  <dcterms:created xsi:type="dcterms:W3CDTF">2017-03-16T09:09:00Z</dcterms:created>
  <dcterms:modified xsi:type="dcterms:W3CDTF">2017-03-24T16:03:00Z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4f2e13a9-aa6c-4a14-b49a-af0211766a24</vt:lpwstr>
  </property>
</Properties>
</file>